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5414A5" w:rsidRPr="005414A5">
              <w:rPr>
                <w:b/>
                <w:sz w:val="24"/>
                <w:szCs w:val="24"/>
              </w:rPr>
              <w:t xml:space="preserve">г. Томск, ул. </w:t>
            </w:r>
            <w:proofErr w:type="spellStart"/>
            <w:r w:rsidR="005414A5" w:rsidRPr="005414A5">
              <w:rPr>
                <w:b/>
                <w:sz w:val="24"/>
                <w:szCs w:val="24"/>
              </w:rPr>
              <w:t>Л.Толстого</w:t>
            </w:r>
            <w:proofErr w:type="spellEnd"/>
            <w:r w:rsidR="005414A5" w:rsidRPr="005414A5">
              <w:rPr>
                <w:b/>
                <w:sz w:val="24"/>
                <w:szCs w:val="24"/>
              </w:rPr>
              <w:t>, д. 46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414A5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2016-02-08T05:42:00Z</dcterms:created>
  <dcterms:modified xsi:type="dcterms:W3CDTF">2016-02-08T05:42:00Z</dcterms:modified>
</cp:coreProperties>
</file>