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вскрытия конвертов с заявками на участие в </w:t>
      </w:r>
      <w:r w:rsidR="00D11BC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конкурсе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Сведения о предмете </w:t>
      </w:r>
      <w:r w:rsidR="004737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конкурса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3785" w:rsidRDefault="00A227C5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о</w:t>
      </w:r>
      <w:r w:rsidR="00167846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7846">
        <w:rPr>
          <w:rFonts w:ascii="Times New Roman" w:hAnsi="Times New Roman" w:cs="Times New Roman"/>
          <w:sz w:val="24"/>
          <w:szCs w:val="24"/>
        </w:rPr>
        <w:t xml:space="preserve"> </w:t>
      </w:r>
      <w:r w:rsidR="00D11BCC">
        <w:rPr>
          <w:rFonts w:ascii="Times New Roman" w:hAnsi="Times New Roman" w:cs="Times New Roman"/>
          <w:sz w:val="24"/>
          <w:szCs w:val="24"/>
        </w:rPr>
        <w:t xml:space="preserve">кредитной организации для </w:t>
      </w:r>
      <w:r w:rsidR="00473785">
        <w:rPr>
          <w:rFonts w:ascii="Times New Roman" w:hAnsi="Times New Roman" w:cs="Times New Roman"/>
          <w:sz w:val="24"/>
          <w:szCs w:val="24"/>
        </w:rPr>
        <w:t>открытия специальных счетов, владельцем которых является региональный оператор.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="004737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б организаторе конкурса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Извещение о проведении </w:t>
      </w:r>
      <w:r w:rsidR="004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167846" w:rsidRPr="0013253C" w:rsidRDefault="00473785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</w:t>
      </w:r>
      <w:r w:rsidR="00E74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 конкурса было размещено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 w:rsidR="00E74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67846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8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A35DDD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A35DDD" w:rsidRPr="002E49F2" w:rsidRDefault="00A35DDD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A35DDD" w:rsidRPr="002E49F2" w:rsidRDefault="00A35DDD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A35DDD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4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3785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D4460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6D4460" w:rsidRPr="002E49F2" w:rsidRDefault="006D4460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460" w:rsidRPr="002E49F2" w:rsidRDefault="006D4460" w:rsidP="006D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Игнатова Светлана Михайловна, главный бухгалтер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4460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6D4460" w:rsidRPr="002E49F2" w:rsidRDefault="006D4460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460" w:rsidRDefault="006D4460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Сергеевна, председатель комитета организационно-правовой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ЖКХ и государственного жилищного надзора Томской области-государственный жилищный инспектор Томской области;</w:t>
            </w:r>
          </w:p>
        </w:tc>
      </w:tr>
      <w:tr w:rsidR="006D4460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6D4460" w:rsidRPr="002E49F2" w:rsidRDefault="006D4460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460" w:rsidRDefault="006D4460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Сергеевич, заместитель председателя комитета государственного долга и экономического анализа Департамента финансов Томской области;</w:t>
            </w:r>
          </w:p>
        </w:tc>
      </w:tr>
      <w:tr w:rsidR="006D4460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6D4460" w:rsidRPr="002E49F2" w:rsidRDefault="006D4460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4460" w:rsidRDefault="006D4460" w:rsidP="006D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-Шараев Андрей Алексеевич, заместитель председателя комитета анализа социальной сферы Департа</w:t>
            </w:r>
            <w:r w:rsidR="006A5FCE">
              <w:rPr>
                <w:rFonts w:ascii="Times New Roman" w:eastAsia="Calibri" w:hAnsi="Times New Roman" w:cs="Times New Roman"/>
                <w:sz w:val="24"/>
                <w:szCs w:val="24"/>
              </w:rPr>
              <w:t>мента экономики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B6E7C" w:rsidRPr="009A02A6" w:rsidRDefault="00DB6E7C" w:rsidP="00DB6E7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A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Процедура вскрытия конвертов с заявками на участие в </w:t>
      </w:r>
      <w:r w:rsidR="00DB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p w:rsidR="00DB6E7C" w:rsidRPr="0013253C" w:rsidRDefault="00DB6E7C" w:rsidP="00DB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E7C" w:rsidRPr="0013253C" w:rsidRDefault="00DB6E7C" w:rsidP="00DB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конкурса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</w:t>
      </w:r>
      <w:r w:rsidRPr="00DB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B6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B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</w:p>
    <w:p w:rsidR="00DB6E7C" w:rsidRDefault="00DB6E7C" w:rsidP="00DB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DB6E7C" w:rsidRPr="0013253C" w:rsidRDefault="00DB6E7C" w:rsidP="00DB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6A5F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Сычевой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DB6E7C" w:rsidRPr="0013253C" w:rsidRDefault="00DB6E7C" w:rsidP="00D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E7C" w:rsidRPr="0013253C" w:rsidRDefault="00DB6E7C" w:rsidP="00D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E7C" w:rsidRDefault="00DB6E7C" w:rsidP="00D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стоимость открытия расчетного счета и его расчетно-кассового и дистанционного обслуживания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(указаны в 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6E7C" w:rsidRPr="00A9796C" w:rsidRDefault="00DB6E7C" w:rsidP="00DB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для оценки предложения участника по критериям, установленным конкурсной документацией (указаны в Приложении № 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DB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87C" w:rsidRDefault="00DE287C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87C" w:rsidRPr="0013253C" w:rsidRDefault="00DE287C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18"/>
        <w:gridCol w:w="4738"/>
      </w:tblGrid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A3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A35DDD"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DB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DB6E7C"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DE287C">
        <w:tc>
          <w:tcPr>
            <w:tcW w:w="4618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167846" w:rsidRPr="0043232B" w:rsidRDefault="00167846" w:rsidP="00DB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DB6E7C">
              <w:rPr>
                <w:rFonts w:ascii="Times New Roman" w:eastAsia="Calibri" w:hAnsi="Times New Roman" w:cs="Times New Roman"/>
                <w:sz w:val="24"/>
                <w:szCs w:val="24"/>
              </w:rPr>
              <w:t>С.М. Игнатова</w:t>
            </w:r>
          </w:p>
        </w:tc>
      </w:tr>
      <w:tr w:rsidR="00DB6E7C" w:rsidRPr="0043232B" w:rsidTr="00CC30AA">
        <w:trPr>
          <w:trHeight w:val="581"/>
        </w:trPr>
        <w:tc>
          <w:tcPr>
            <w:tcW w:w="4618" w:type="dxa"/>
            <w:shd w:val="clear" w:color="auto" w:fill="auto"/>
          </w:tcPr>
          <w:p w:rsidR="00DB6E7C" w:rsidRPr="0043232B" w:rsidRDefault="00DB6E7C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DB6E7C" w:rsidRDefault="00DB6E7C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AA" w:rsidRPr="0043232B" w:rsidRDefault="00CC30AA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М.С.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Сергейчик</w:t>
            </w:r>
            <w:proofErr w:type="spellEnd"/>
          </w:p>
        </w:tc>
      </w:tr>
      <w:tr w:rsidR="00CC30AA" w:rsidRPr="0043232B" w:rsidTr="00CC30AA">
        <w:trPr>
          <w:trHeight w:val="581"/>
        </w:trPr>
        <w:tc>
          <w:tcPr>
            <w:tcW w:w="4618" w:type="dxa"/>
            <w:shd w:val="clear" w:color="auto" w:fill="auto"/>
          </w:tcPr>
          <w:p w:rsidR="00CC30AA" w:rsidRPr="0043232B" w:rsidRDefault="00CC30AA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CC30AA" w:rsidRDefault="00CC30AA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AA" w:rsidRDefault="00CC30AA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А.А. Шараев</w:t>
            </w:r>
          </w:p>
        </w:tc>
      </w:tr>
      <w:tr w:rsidR="00CC30AA" w:rsidRPr="0043232B" w:rsidTr="00CC30AA">
        <w:trPr>
          <w:trHeight w:val="581"/>
        </w:trPr>
        <w:tc>
          <w:tcPr>
            <w:tcW w:w="4618" w:type="dxa"/>
            <w:shd w:val="clear" w:color="auto" w:fill="auto"/>
          </w:tcPr>
          <w:p w:rsidR="00CC30AA" w:rsidRPr="0043232B" w:rsidRDefault="00CC30AA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CC30AA" w:rsidRDefault="00CC30AA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AA" w:rsidRDefault="00CC30AA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Ю.С.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Реука</w:t>
            </w:r>
            <w:proofErr w:type="spellEnd"/>
          </w:p>
        </w:tc>
      </w:tr>
    </w:tbl>
    <w:p w:rsidR="004D5916" w:rsidRDefault="004D5916"/>
    <w:p w:rsidR="00167846" w:rsidRDefault="00167846"/>
    <w:p w:rsidR="00167846" w:rsidRDefault="00167846"/>
    <w:p w:rsidR="00A06BC2" w:rsidRDefault="00A06BC2"/>
    <w:p w:rsidR="00A06BC2" w:rsidRDefault="00A06BC2"/>
    <w:p w:rsidR="00A06BC2" w:rsidRDefault="00A06BC2"/>
    <w:p w:rsidR="00A06BC2" w:rsidRDefault="00A06BC2"/>
    <w:p w:rsidR="00A06BC2" w:rsidRDefault="00A06BC2"/>
    <w:p w:rsidR="00A06BC2" w:rsidRDefault="00A06BC2"/>
    <w:p w:rsidR="00A06BC2" w:rsidRDefault="00A06BC2"/>
    <w:p w:rsidR="00A06BC2" w:rsidRDefault="00A06BC2"/>
    <w:p w:rsidR="00167846" w:rsidRPr="0013253C" w:rsidRDefault="00167846" w:rsidP="002E69EF">
      <w:pPr>
        <w:spacing w:after="0" w:line="240" w:lineRule="auto"/>
        <w:ind w:left="453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78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A06BC2">
        <w:rPr>
          <w:rFonts w:ascii="Times New Roman" w:eastAsia="Times New Roman" w:hAnsi="Times New Roman" w:cs="Times New Roman"/>
          <w:sz w:val="24"/>
          <w:szCs w:val="24"/>
          <w:lang w:eastAsia="ru-RU"/>
        </w:rPr>
        <w:t>23.10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35DDD" w:rsidRPr="0013253C" w:rsidRDefault="00A35DDD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86797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86797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A06BC2" w:rsidP="00A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A06BC2" w:rsidP="002E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2045" w:type="dxa"/>
          </w:tcPr>
          <w:p w:rsidR="00167846" w:rsidRPr="0013253C" w:rsidRDefault="00167846" w:rsidP="00A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2E69EF">
              <w:rPr>
                <w:rFonts w:ascii="Times New Roman" w:eastAsia="Calibri" w:hAnsi="Times New Roman" w:cs="Times New Roman"/>
                <w:sz w:val="24"/>
                <w:szCs w:val="24"/>
              </w:rPr>
              <w:t>СС-1</w:t>
            </w:r>
            <w:r w:rsidR="00A06BC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06BC2" w:rsidRPr="0013253C" w:rsidTr="00786797">
        <w:trPr>
          <w:trHeight w:val="499"/>
        </w:trPr>
        <w:tc>
          <w:tcPr>
            <w:tcW w:w="708" w:type="dxa"/>
          </w:tcPr>
          <w:p w:rsidR="00A06BC2" w:rsidRDefault="00A06BC2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06BC2" w:rsidRDefault="00A06BC2" w:rsidP="00A3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919" w:type="dxa"/>
          </w:tcPr>
          <w:p w:rsidR="00A06BC2" w:rsidRDefault="00A06BC2" w:rsidP="002E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09-33</w:t>
            </w:r>
          </w:p>
        </w:tc>
        <w:tc>
          <w:tcPr>
            <w:tcW w:w="2045" w:type="dxa"/>
          </w:tcPr>
          <w:p w:rsidR="00A06BC2" w:rsidRDefault="00A06BC2" w:rsidP="002E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15-СС-1-2</w:t>
            </w:r>
          </w:p>
        </w:tc>
        <w:tc>
          <w:tcPr>
            <w:tcW w:w="3560" w:type="dxa"/>
          </w:tcPr>
          <w:p w:rsidR="00A06BC2" w:rsidRPr="0013253C" w:rsidRDefault="00A06BC2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78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23.10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74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5"/>
        <w:gridCol w:w="2470"/>
        <w:gridCol w:w="2383"/>
      </w:tblGrid>
      <w:tr w:rsidR="00167846" w:rsidRPr="0013253C" w:rsidTr="00786797">
        <w:trPr>
          <w:trHeight w:val="1107"/>
        </w:trPr>
        <w:tc>
          <w:tcPr>
            <w:tcW w:w="953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38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32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A51B6" w:rsidRPr="0013253C" w:rsidTr="00786797">
        <w:trPr>
          <w:trHeight w:val="450"/>
        </w:trPr>
        <w:tc>
          <w:tcPr>
            <w:tcW w:w="953" w:type="pct"/>
            <w:shd w:val="clear" w:color="auto" w:fill="auto"/>
          </w:tcPr>
          <w:p w:rsidR="005A51B6" w:rsidRPr="0013253C" w:rsidRDefault="005A51B6" w:rsidP="002C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15-СС-1-1</w:t>
            </w:r>
          </w:p>
        </w:tc>
        <w:tc>
          <w:tcPr>
            <w:tcW w:w="1538" w:type="pct"/>
            <w:shd w:val="clear" w:color="auto" w:fill="auto"/>
          </w:tcPr>
          <w:p w:rsidR="005A51B6" w:rsidRPr="006039BF" w:rsidRDefault="005A51B6" w:rsidP="005A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«Газпромбанк» (Акционерное общество) в лице филиала Банка ГПБ (АО) в г. Томске</w:t>
            </w:r>
          </w:p>
          <w:p w:rsidR="005A51B6" w:rsidRPr="006039BF" w:rsidRDefault="005A51B6" w:rsidP="005A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7744001497</w:t>
            </w:r>
          </w:p>
          <w:p w:rsidR="005A51B6" w:rsidRPr="006039BF" w:rsidRDefault="005A51B6" w:rsidP="005A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</w:tcPr>
          <w:p w:rsidR="005A51B6" w:rsidRDefault="005A51B6" w:rsidP="005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Москва, 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корпус 1</w:t>
            </w:r>
          </w:p>
          <w:p w:rsidR="005A51B6" w:rsidRDefault="005A51B6" w:rsidP="005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51B6" w:rsidRPr="005E68EE" w:rsidRDefault="005A51B6" w:rsidP="005A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1905 года переулок, дом 7</w:t>
            </w:r>
          </w:p>
        </w:tc>
        <w:tc>
          <w:tcPr>
            <w:tcW w:w="1232" w:type="pct"/>
            <w:shd w:val="clear" w:color="auto" w:fill="auto"/>
          </w:tcPr>
          <w:p w:rsidR="005A51B6" w:rsidRDefault="005A51B6" w:rsidP="002C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Москва, 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корпус 1</w:t>
            </w:r>
          </w:p>
          <w:p w:rsidR="005A51B6" w:rsidRPr="005E68EE" w:rsidRDefault="005A51B6" w:rsidP="002C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1905 года переулок, дом 7</w:t>
            </w:r>
          </w:p>
        </w:tc>
      </w:tr>
      <w:tr w:rsidR="00A06BC2" w:rsidRPr="0013253C" w:rsidTr="00786797">
        <w:trPr>
          <w:trHeight w:val="450"/>
        </w:trPr>
        <w:tc>
          <w:tcPr>
            <w:tcW w:w="953" w:type="pct"/>
            <w:shd w:val="clear" w:color="auto" w:fill="auto"/>
          </w:tcPr>
          <w:p w:rsidR="00A06BC2" w:rsidRPr="0013253C" w:rsidRDefault="002C6EB3" w:rsidP="002C6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A06BC2">
              <w:rPr>
                <w:rFonts w:ascii="Times New Roman" w:eastAsia="Calibri" w:hAnsi="Times New Roman" w:cs="Times New Roman"/>
                <w:sz w:val="24"/>
                <w:szCs w:val="24"/>
              </w:rPr>
              <w:t>СС-</w:t>
            </w:r>
            <w:r w:rsidR="00BF2A3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8" w:type="pct"/>
            <w:shd w:val="clear" w:color="auto" w:fill="auto"/>
          </w:tcPr>
          <w:p w:rsidR="00A06BC2" w:rsidRPr="006039BF" w:rsidRDefault="00A06BC2" w:rsidP="00A0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«Сбербанк</w:t>
            </w:r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(Томское отделение </w:t>
            </w:r>
            <w:proofErr w:type="gramStart"/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8616</w:t>
            </w:r>
            <w:proofErr w:type="gramEnd"/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Сбербанк) </w:t>
            </w:r>
          </w:p>
          <w:p w:rsidR="00A06BC2" w:rsidRPr="006039BF" w:rsidRDefault="00A06BC2" w:rsidP="00A0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7707083893</w:t>
            </w:r>
          </w:p>
          <w:p w:rsidR="00A06BC2" w:rsidRPr="006039BF" w:rsidRDefault="00A06BC2" w:rsidP="00A0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</w:tcPr>
          <w:p w:rsidR="00A06BC2" w:rsidRPr="006039BF" w:rsidRDefault="00A06BC2" w:rsidP="00A0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Вавилова, д.19</w:t>
            </w:r>
          </w:p>
        </w:tc>
        <w:tc>
          <w:tcPr>
            <w:tcW w:w="1232" w:type="pct"/>
            <w:shd w:val="clear" w:color="auto" w:fill="auto"/>
          </w:tcPr>
          <w:p w:rsidR="00A06BC2" w:rsidRPr="006039BF" w:rsidRDefault="00A06BC2" w:rsidP="002C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34061, Томская область, г. Томск, пр. Фрунзе, д. 90/1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4434E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5A51B6">
        <w:rPr>
          <w:rFonts w:ascii="Times New Roman" w:hAnsi="Times New Roman" w:cs="Times New Roman"/>
          <w:sz w:val="24"/>
          <w:szCs w:val="24"/>
        </w:rPr>
        <w:t xml:space="preserve"> к Протоколу № 1 от 23.10</w:t>
      </w:r>
      <w:r w:rsidR="00167846"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9A6" w:rsidRDefault="00B969A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9A6" w:rsidRPr="001A415C" w:rsidRDefault="00B969A6" w:rsidP="00B969A6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предусмотренных конкурсной документацией и содержащихся в заявке на участие в конкурсе</w:t>
      </w:r>
    </w:p>
    <w:p w:rsidR="00B969A6" w:rsidRPr="001A415C" w:rsidRDefault="00B969A6" w:rsidP="00B96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48"/>
        <w:gridCol w:w="1417"/>
        <w:gridCol w:w="1416"/>
      </w:tblGrid>
      <w:tr w:rsidR="005A51B6" w:rsidRPr="001A415C" w:rsidTr="005A51B6">
        <w:trPr>
          <w:trHeight w:val="543"/>
        </w:trPr>
        <w:tc>
          <w:tcPr>
            <w:tcW w:w="709" w:type="dxa"/>
          </w:tcPr>
          <w:p w:rsidR="005A51B6" w:rsidRPr="006F2569" w:rsidRDefault="005A51B6" w:rsidP="0021420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48" w:type="dxa"/>
          </w:tcPr>
          <w:p w:rsidR="005A51B6" w:rsidRPr="006F2569" w:rsidRDefault="005A51B6" w:rsidP="0021420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417" w:type="dxa"/>
          </w:tcPr>
          <w:p w:rsidR="005A51B6" w:rsidRPr="00C37F20" w:rsidRDefault="005A51B6" w:rsidP="0021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15-СС-1-1</w:t>
            </w:r>
          </w:p>
        </w:tc>
        <w:tc>
          <w:tcPr>
            <w:tcW w:w="1416" w:type="dxa"/>
          </w:tcPr>
          <w:p w:rsidR="005A51B6" w:rsidRDefault="002C6EB3" w:rsidP="00214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15-СС-1-2</w:t>
            </w:r>
          </w:p>
        </w:tc>
      </w:tr>
      <w:tr w:rsidR="005A51B6" w:rsidRPr="001A415C" w:rsidTr="005A51B6">
        <w:trPr>
          <w:trHeight w:val="349"/>
        </w:trPr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да/нет</w:t>
            </w:r>
          </w:p>
        </w:tc>
        <w:tc>
          <w:tcPr>
            <w:tcW w:w="1416" w:type="dxa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да/нет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</w:tc>
        <w:tc>
          <w:tcPr>
            <w:tcW w:w="1417" w:type="dxa"/>
            <w:vAlign w:val="center"/>
          </w:tcPr>
          <w:p w:rsidR="005A51B6" w:rsidRPr="00BB09F7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B09F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BB09F7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B09F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№ 2 </w:t>
            </w: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Предложение претендента</w:t>
            </w:r>
          </w:p>
        </w:tc>
        <w:tc>
          <w:tcPr>
            <w:tcW w:w="1417" w:type="dxa"/>
            <w:vAlign w:val="center"/>
          </w:tcPr>
          <w:p w:rsidR="005A51B6" w:rsidRPr="00130B64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30B64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Приложение № 1. «Населенные пункты Томской области, на территории которых имеются пункты приема платежей, в том числе устройства самообслуживания»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2. «</w:t>
            </w:r>
            <w:r w:rsidRPr="00130B64">
              <w:rPr>
                <w:rFonts w:ascii="Times New Roman" w:hAnsi="Times New Roman"/>
                <w:sz w:val="24"/>
                <w:szCs w:val="24"/>
              </w:rPr>
              <w:t>Перечень специальных программ кредитования в целях проведения капитального ремонта общего имущества многоквартирных домов</w:t>
            </w:r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3. Отчетность претендента по форме </w:t>
            </w:r>
            <w:hyperlink r:id="rId8" w:anchor="block_409123" w:history="1">
              <w:r w:rsidRPr="00130B64">
                <w:rPr>
                  <w:rFonts w:ascii="Times New Roman" w:hAnsi="Times New Roman"/>
                  <w:color w:val="000000"/>
                  <w:sz w:val="24"/>
                  <w:szCs w:val="24"/>
                </w:rPr>
                <w:t>0409123</w:t>
              </w:r>
            </w:hyperlink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«Расчет собственных средств (капитала) ("Базель III")» по состоянию на 01.07.2015 г.</w:t>
            </w:r>
          </w:p>
        </w:tc>
        <w:tc>
          <w:tcPr>
            <w:tcW w:w="1417" w:type="dxa"/>
            <w:vAlign w:val="center"/>
          </w:tcPr>
          <w:p w:rsidR="005A51B6" w:rsidRPr="00E4034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E403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E4034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E403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4. Отчетность претендента по форме 0409115 «Информация о качестве активов кредитной организации (банковской группы)» по состоянию на 01.07.2015 г.</w:t>
            </w:r>
          </w:p>
        </w:tc>
        <w:tc>
          <w:tcPr>
            <w:tcW w:w="1417" w:type="dxa"/>
            <w:vAlign w:val="center"/>
          </w:tcPr>
          <w:p w:rsidR="005A51B6" w:rsidRPr="00E4034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403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E4034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403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Копии действующих лицензий Центрального Банка Российской Федерации на осуществление банковских операций в рублях, заверенные в установленном действующим законодательством Российской Федерации порядке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Документ, подтверждающий полномочия лица на осуществление действий от имени участника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Копии учредительных документов претендента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5A51B6" w:rsidRPr="001A415C" w:rsidTr="0007675A">
        <w:tc>
          <w:tcPr>
            <w:tcW w:w="709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5948" w:type="dxa"/>
          </w:tcPr>
          <w:p w:rsidR="005A51B6" w:rsidRPr="00130B64" w:rsidRDefault="005A51B6" w:rsidP="005A5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B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1417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:rsidR="005A51B6" w:rsidRPr="001A415C" w:rsidRDefault="005A51B6" w:rsidP="005A5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</w:tbl>
    <w:p w:rsidR="00B969A6" w:rsidRDefault="00B969A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9A6" w:rsidRPr="008B64FF" w:rsidRDefault="00B969A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64" w:rsidRDefault="00130B64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969A6" w:rsidRPr="00A228FB" w:rsidTr="00214208">
        <w:tc>
          <w:tcPr>
            <w:tcW w:w="10138" w:type="dxa"/>
          </w:tcPr>
          <w:p w:rsidR="00B969A6" w:rsidRDefault="00B969A6" w:rsidP="002142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78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0A57EA">
              <w:rPr>
                <w:rFonts w:ascii="Times New Roman" w:hAnsi="Times New Roman" w:cs="Times New Roman"/>
                <w:sz w:val="24"/>
                <w:szCs w:val="24"/>
              </w:rPr>
              <w:t>Протоколу № 1 от 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969A6" w:rsidRPr="00A228FB" w:rsidRDefault="00B969A6" w:rsidP="00214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конвертов с заявками на участие в конкурсе</w:t>
            </w: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69A6" w:rsidRDefault="00B969A6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64" w:rsidRDefault="00130B64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64" w:rsidRDefault="00130B64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9A6" w:rsidRDefault="00B969A6" w:rsidP="00B96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458">
        <w:rPr>
          <w:rFonts w:ascii="Times New Roman" w:eastAsia="Times New Roman" w:hAnsi="Times New Roman"/>
          <w:sz w:val="24"/>
          <w:szCs w:val="24"/>
          <w:lang w:eastAsia="ru-RU"/>
        </w:rPr>
        <w:t>Стоимость открытия счета и его расчетно-кассового и дистанционного обслуживания</w:t>
      </w:r>
    </w:p>
    <w:p w:rsidR="00B969A6" w:rsidRDefault="00B969A6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3969"/>
      </w:tblGrid>
      <w:tr w:rsidR="00B969A6" w:rsidRPr="00A228FB" w:rsidTr="00780CC2">
        <w:tc>
          <w:tcPr>
            <w:tcW w:w="993" w:type="dxa"/>
          </w:tcPr>
          <w:p w:rsidR="00B969A6" w:rsidRPr="00A228FB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B969A6" w:rsidRPr="00A228FB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3969" w:type="dxa"/>
          </w:tcPr>
          <w:p w:rsidR="00B969A6" w:rsidRPr="00A228FB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открытия расчетного счета и его расчетно-кассового и </w:t>
            </w:r>
          </w:p>
          <w:p w:rsidR="00B969A6" w:rsidRPr="00A228FB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дистанционного обслуживания</w:t>
            </w:r>
          </w:p>
        </w:tc>
      </w:tr>
      <w:tr w:rsidR="000A57EA" w:rsidRPr="00A228FB" w:rsidTr="00780CC2">
        <w:tc>
          <w:tcPr>
            <w:tcW w:w="993" w:type="dxa"/>
          </w:tcPr>
          <w:p w:rsidR="000A57EA" w:rsidRPr="00A228FB" w:rsidRDefault="000A57EA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A57EA" w:rsidRDefault="000A57EA" w:rsidP="000A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«Газпромбанк»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C6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кционерное общество) </w:t>
            </w:r>
          </w:p>
          <w:p w:rsidR="000A57EA" w:rsidRDefault="002C6EB3" w:rsidP="0060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Банка</w:t>
            </w:r>
            <w:r w:rsidR="0060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ГПБ (АО)</w:t>
            </w:r>
            <w:r w:rsidR="000A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Томске</w:t>
            </w:r>
          </w:p>
        </w:tc>
        <w:tc>
          <w:tcPr>
            <w:tcW w:w="3969" w:type="dxa"/>
          </w:tcPr>
          <w:p w:rsidR="000A57EA" w:rsidRDefault="000A57EA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комиссии</w:t>
            </w:r>
          </w:p>
        </w:tc>
      </w:tr>
      <w:tr w:rsidR="00B969A6" w:rsidRPr="00A228FB" w:rsidTr="00780CC2">
        <w:tc>
          <w:tcPr>
            <w:tcW w:w="993" w:type="dxa"/>
          </w:tcPr>
          <w:p w:rsidR="00B969A6" w:rsidRPr="00A228FB" w:rsidRDefault="000A57EA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91098" w:rsidRPr="006039BF" w:rsidRDefault="00891098" w:rsidP="008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«Сбербанк</w:t>
            </w:r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(Томское отделение </w:t>
            </w:r>
            <w:proofErr w:type="gramStart"/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8616</w:t>
            </w:r>
            <w:proofErr w:type="gramEnd"/>
            <w:r w:rsidR="002C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Сбербанк) </w:t>
            </w:r>
          </w:p>
          <w:p w:rsidR="00B969A6" w:rsidRPr="002E16F2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B969A6" w:rsidRPr="00A228FB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комиссии</w:t>
            </w:r>
          </w:p>
        </w:tc>
      </w:tr>
    </w:tbl>
    <w:p w:rsidR="00B969A6" w:rsidRDefault="00B969A6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46" w:rsidRDefault="00167846"/>
    <w:p w:rsidR="00B969A6" w:rsidRDefault="00B969A6"/>
    <w:p w:rsidR="00B969A6" w:rsidRDefault="00B969A6"/>
    <w:p w:rsidR="00B969A6" w:rsidRDefault="00B969A6"/>
    <w:p w:rsidR="00B969A6" w:rsidRDefault="00B969A6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130B64" w:rsidRDefault="00130B64"/>
    <w:p w:rsidR="00B969A6" w:rsidRPr="001A415C" w:rsidRDefault="00B969A6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969A6" w:rsidRPr="00A228FB" w:rsidTr="00214208">
        <w:tc>
          <w:tcPr>
            <w:tcW w:w="10138" w:type="dxa"/>
          </w:tcPr>
          <w:p w:rsidR="00B969A6" w:rsidRDefault="00B969A6" w:rsidP="00214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Default="00B969A6" w:rsidP="002142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E7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Протоколу № </w:t>
            </w:r>
            <w:r w:rsidR="000A57EA">
              <w:rPr>
                <w:rFonts w:ascii="Times New Roman" w:hAnsi="Times New Roman" w:cs="Times New Roman"/>
                <w:sz w:val="24"/>
                <w:szCs w:val="24"/>
              </w:rPr>
              <w:t>1 от 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B969A6" w:rsidRPr="00A228FB" w:rsidRDefault="00B969A6" w:rsidP="00214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конвертов с заявками на участие в конкурсе</w:t>
            </w:r>
          </w:p>
        </w:tc>
      </w:tr>
    </w:tbl>
    <w:p w:rsidR="00891098" w:rsidRDefault="00891098" w:rsidP="00B969A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969A6" w:rsidRDefault="00B969A6" w:rsidP="00B969A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1A415C">
        <w:rPr>
          <w:rFonts w:ascii="Times New Roman" w:hAnsi="Times New Roman"/>
          <w:color w:val="000000"/>
          <w:spacing w:val="-4"/>
          <w:sz w:val="24"/>
          <w:szCs w:val="24"/>
        </w:rPr>
        <w:t>нформация для оценки предложения участника по критериям, установленным конкурсной документацией</w:t>
      </w:r>
    </w:p>
    <w:p w:rsidR="000A57EA" w:rsidRPr="00393A9B" w:rsidRDefault="000A57EA" w:rsidP="000A57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0D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Фирменное наименование (наименование), организационно-правовая форма претендента: 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«Газпромбанк» (</w:t>
      </w:r>
      <w:r w:rsidR="002C6E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кционерное общество)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филиал </w:t>
      </w:r>
      <w:r w:rsidR="002C6EB3" w:rsidRPr="002C6E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Банка </w:t>
      </w:r>
      <w:r w:rsidR="006031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ГПБ </w:t>
      </w:r>
      <w:r w:rsidR="002C6EB3" w:rsidRPr="002C6E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(АО</w:t>
      </w:r>
      <w:r w:rsidR="006031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2C6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Томске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3A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57EA" w:rsidRPr="001A415C" w:rsidRDefault="000A57EA" w:rsidP="000A57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7EA" w:rsidRPr="001A415C" w:rsidRDefault="000A57EA" w:rsidP="000A5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24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40"/>
        <w:gridCol w:w="3537"/>
        <w:gridCol w:w="2790"/>
      </w:tblGrid>
      <w:tr w:rsidR="000A57EA" w:rsidRPr="006549F5" w:rsidTr="002E2BB4">
        <w:trPr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значения критериев согласно конкурсной документации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заявки претендента</w:t>
            </w:r>
          </w:p>
        </w:tc>
      </w:tr>
      <w:tr w:rsidR="000A57EA" w:rsidRPr="006549F5" w:rsidTr="002E2BB4">
        <w:trPr>
          <w:trHeight w:val="825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Прямое или косвенное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осударственное участие в уставном капитале кредитной организации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 государственным участием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hAnsi="Times New Roman"/>
                <w:sz w:val="24"/>
                <w:szCs w:val="24"/>
              </w:rPr>
              <w:t>Прямое или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косвенное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осударственное участие в уставном капитале кредитной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подтверждают</w:t>
            </w:r>
          </w:p>
        </w:tc>
      </w:tr>
      <w:tr w:rsidR="000A57EA" w:rsidRPr="006549F5" w:rsidTr="002E2BB4">
        <w:trPr>
          <w:trHeight w:val="825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без государственного участия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0A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Величина собственных средств кредитной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по состоянию на 01.09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 (по форме 0409123)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400 млрд. руб.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435205">
              <w:rPr>
                <w:rFonts w:ascii="Times New Roman" w:hAnsi="Times New Roman"/>
                <w:sz w:val="24"/>
                <w:szCs w:val="24"/>
              </w:rPr>
              <w:t>400 м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лрд. руб.</w:t>
            </w:r>
          </w:p>
        </w:tc>
      </w:tr>
      <w:tr w:rsidR="000A57EA" w:rsidRPr="006549F5" w:rsidTr="002E2BB4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300 млрд. руб. до 400 млрд. руб.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200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 до 300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 до 200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34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до 100 млрд. (включительно)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490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0A5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Показатель соотношения собственных средств к общей просроченной задолженности кредитной организации по состоянию на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9F5E18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</w:tr>
      <w:tr w:rsidR="000A57EA" w:rsidRPr="006549F5" w:rsidTr="002E2BB4">
        <w:trPr>
          <w:trHeight w:val="490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490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6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Уровень просроченной задолженности кредитной организации по кредитному портфелю по состоянию на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 (по форме 0409115)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ниже 2%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9F5E18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ниже 2%</w:t>
            </w:r>
          </w:p>
        </w:tc>
      </w:tr>
      <w:tr w:rsidR="000A57EA" w:rsidRPr="006549F5" w:rsidTr="002E2BB4">
        <w:trPr>
          <w:trHeight w:val="690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2 % и выше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3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ставка, подлежащая начислению на среднемесячные остатки денежных средств на счете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5% и выше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9F5E18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5% и выше</w:t>
            </w:r>
          </w:p>
        </w:tc>
      </w:tr>
      <w:tr w:rsidR="000A57EA" w:rsidRPr="006549F5" w:rsidTr="002E2BB4">
        <w:trPr>
          <w:trHeight w:val="3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% до 4,99%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390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58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услуги по начислению процентов на совокупный неснижаемый остаток по группе счетов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A57EA" w:rsidRPr="006549F5" w:rsidTr="002E2BB4">
        <w:trPr>
          <w:trHeight w:val="58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87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возможности при приеме взносов собственников жилья использования в платежных документах кодирования (штрих-код)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A57EA" w:rsidRPr="006549F5" w:rsidTr="002E2BB4">
        <w:trPr>
          <w:trHeight w:val="87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87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специальных программ кредитования в целях проведения капитального ремонта общего имущества многоквартирных домов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A57EA" w:rsidRPr="006549F5" w:rsidTr="002E2BB4">
        <w:trPr>
          <w:trHeight w:val="87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9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Размер комиссии за прием и перевод взносов на счет регионального оператора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взимается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9F5E18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взимается</w:t>
            </w:r>
          </w:p>
        </w:tc>
      </w:tr>
      <w:tr w:rsidR="000A57EA" w:rsidRPr="006549F5" w:rsidTr="002E2BB4">
        <w:trPr>
          <w:trHeight w:val="295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1% и менее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9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1%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4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Количество населенных пунктов Томской области, на территории которых имеются пункты приема платежей, в том числе устройства самообслуживания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1289" w:type="pct"/>
            <w:tcBorders>
              <w:right w:val="single" w:sz="6" w:space="0" w:color="000000"/>
            </w:tcBorders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4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0A57EA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7EA" w:rsidRPr="006549F5" w:rsidRDefault="009F5E18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</w:tr>
      <w:tr w:rsidR="000A57EA" w:rsidRPr="006549F5" w:rsidTr="002E2BB4">
        <w:trPr>
          <w:trHeight w:val="4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411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4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подразделения в банке, ответственного за осуществление экспертизы документов и контроля за открытием специальных счетов и расходными операциями по ним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289" w:type="pct"/>
            <w:tcBorders>
              <w:top w:val="nil"/>
              <w:left w:val="nil"/>
              <w:right w:val="single" w:sz="4" w:space="0" w:color="auto"/>
            </w:tcBorders>
          </w:tcPr>
          <w:p w:rsidR="000A57EA" w:rsidRPr="0043520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A57EA" w:rsidRPr="006549F5" w:rsidTr="002E2BB4">
        <w:trPr>
          <w:trHeight w:val="248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7EA" w:rsidRPr="0043520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7EA" w:rsidRPr="006549F5" w:rsidTr="002E2BB4">
        <w:trPr>
          <w:trHeight w:val="248"/>
          <w:tblCellSpacing w:w="15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Наличие у кредитной организации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переводов на счет регионального оператора с использованием интернет-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взимания комиссии (с плательщика и Фонда)</w:t>
            </w:r>
          </w:p>
        </w:tc>
        <w:tc>
          <w:tcPr>
            <w:tcW w:w="1647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A" w:rsidRPr="006549F5" w:rsidRDefault="009F5E18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A57EA" w:rsidRPr="006549F5" w:rsidTr="002E2BB4">
        <w:trPr>
          <w:trHeight w:val="247"/>
          <w:tblCellSpacing w:w="15" w:type="dxa"/>
        </w:trPr>
        <w:tc>
          <w:tcPr>
            <w:tcW w:w="2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EA" w:rsidRPr="006549F5" w:rsidRDefault="000A57EA" w:rsidP="002E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57EA" w:rsidRPr="001A415C" w:rsidRDefault="000A57EA" w:rsidP="000A5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7EA" w:rsidRDefault="000A57EA" w:rsidP="00F2427D">
      <w:pPr>
        <w:spacing w:before="100" w:beforeAutospacing="1" w:after="0" w:line="240" w:lineRule="auto"/>
      </w:pPr>
    </w:p>
    <w:p w:rsidR="00F2427D" w:rsidRDefault="00F2427D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45B05" w:rsidRDefault="00545B05" w:rsidP="00F2427D">
      <w:pPr>
        <w:spacing w:before="100" w:beforeAutospacing="1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1098" w:rsidRPr="006039BF" w:rsidRDefault="00B969A6" w:rsidP="008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1A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(наименование), организационно-правовая форма претендента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91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«Сбербанк</w:t>
      </w:r>
      <w:r w:rsidR="002C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89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(Томское отделение </w:t>
      </w:r>
      <w:proofErr w:type="gramStart"/>
      <w:r w:rsidR="002C6EB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8616</w:t>
      </w:r>
      <w:proofErr w:type="gramEnd"/>
      <w:r w:rsidR="002C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</w:t>
      </w:r>
      <w:r w:rsidR="0089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Сбербанк) </w:t>
      </w:r>
    </w:p>
    <w:p w:rsidR="00B969A6" w:rsidRPr="001A415C" w:rsidRDefault="00B969A6" w:rsidP="00B96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9A6" w:rsidRPr="001A415C" w:rsidRDefault="00B969A6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24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40"/>
        <w:gridCol w:w="3537"/>
        <w:gridCol w:w="2790"/>
      </w:tblGrid>
      <w:tr w:rsidR="00B969A6" w:rsidRPr="006549F5" w:rsidTr="00E620FD">
        <w:trPr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значения критериев согласно конкурсной документации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заявки претендента</w:t>
            </w:r>
          </w:p>
        </w:tc>
      </w:tr>
      <w:tr w:rsidR="00B969A6" w:rsidRPr="006549F5" w:rsidTr="00E620FD">
        <w:trPr>
          <w:trHeight w:val="825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Прямое или косвенное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осударственное участие в уставном капитале кредитной организации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 государственным участием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hAnsi="Times New Roman"/>
                <w:sz w:val="24"/>
                <w:szCs w:val="24"/>
              </w:rPr>
              <w:t>Прямое или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косвенное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осударственное участие в уставном капитале кредитной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подтверждают</w:t>
            </w:r>
          </w:p>
        </w:tc>
      </w:tr>
      <w:tr w:rsidR="00B969A6" w:rsidRPr="006549F5" w:rsidTr="00E620FD">
        <w:trPr>
          <w:trHeight w:val="825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без государственного участия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E27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Величина собственных средств кредитной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по состоянию на 01.0</w:t>
            </w:r>
            <w:r w:rsidR="00E27FBC">
              <w:rPr>
                <w:rFonts w:ascii="Times New Roman" w:hAnsi="Times New Roman"/>
                <w:sz w:val="24"/>
                <w:szCs w:val="24"/>
              </w:rPr>
              <w:t>9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 (по форме 0409123)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400 млрд. руб.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435205">
              <w:rPr>
                <w:rFonts w:ascii="Times New Roman" w:hAnsi="Times New Roman"/>
                <w:sz w:val="24"/>
                <w:szCs w:val="24"/>
              </w:rPr>
              <w:t>400 м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лрд. руб.</w:t>
            </w:r>
          </w:p>
        </w:tc>
      </w:tr>
      <w:tr w:rsidR="00B969A6" w:rsidRPr="006549F5" w:rsidTr="00E620FD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300 млрд. руб. до 400 млрд. руб.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200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 до 300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 до 200 млрд.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234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до 100 млрд. (включительно)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490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F2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Показатель соотношения собственных средств к общей просроченной задолженности кредитной организации по состоянию на 01.0</w:t>
            </w:r>
            <w:r w:rsidR="00F2427D">
              <w:rPr>
                <w:rFonts w:ascii="Times New Roman" w:hAnsi="Times New Roman"/>
                <w:sz w:val="24"/>
                <w:szCs w:val="24"/>
              </w:rPr>
              <w:t>9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891098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</w:tr>
      <w:tr w:rsidR="00B969A6" w:rsidRPr="006549F5" w:rsidTr="00E620FD">
        <w:trPr>
          <w:trHeight w:val="490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490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6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F2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Уровень просроченной задолженности кредитной организации по кредитному портфелю по состоянию на 01.0</w:t>
            </w:r>
            <w:r w:rsidR="00F2427D">
              <w:rPr>
                <w:rFonts w:ascii="Times New Roman" w:hAnsi="Times New Roman"/>
                <w:sz w:val="24"/>
                <w:szCs w:val="24"/>
              </w:rPr>
              <w:t>9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 (по форме 0409115)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ниже 2%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891098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2 % и выше</w:t>
            </w:r>
          </w:p>
        </w:tc>
      </w:tr>
      <w:tr w:rsidR="00B969A6" w:rsidRPr="006549F5" w:rsidTr="00E620FD">
        <w:trPr>
          <w:trHeight w:val="690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2 % и выше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3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ставка, подлежащая начислению на среднемесячные остатки денежных средств на счете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5% и выше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891098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% до 4,99%</w:t>
            </w:r>
          </w:p>
        </w:tc>
      </w:tr>
      <w:tr w:rsidR="00B969A6" w:rsidRPr="006549F5" w:rsidTr="00E620FD">
        <w:trPr>
          <w:trHeight w:val="3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% до 4,99%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390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58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услуги по начислению процентов на совокупный неснижаемый остаток по группе счетов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969A6" w:rsidRPr="006549F5" w:rsidTr="00E620FD">
        <w:trPr>
          <w:trHeight w:val="58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87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возможности при приеме взносов собственников жилья использования в платежных документах кодирования (штрих-код)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969A6" w:rsidRPr="006549F5" w:rsidTr="00E620FD">
        <w:trPr>
          <w:trHeight w:val="87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87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специальных программ кредитования в целях проведения капитального ремонта общего имущества многоквартирных домов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969A6" w:rsidRPr="006549F5" w:rsidTr="00E620FD">
        <w:trPr>
          <w:trHeight w:val="87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29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Размер комиссии за прием и перевод взносов на счет регионального оператора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взимается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3F550F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1%</w:t>
            </w:r>
          </w:p>
        </w:tc>
      </w:tr>
      <w:tr w:rsidR="00B969A6" w:rsidRPr="006549F5" w:rsidTr="00E620FD">
        <w:trPr>
          <w:trHeight w:val="295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1% и менее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29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1%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4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3F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Количество населенных пунктов Томской области, на территории которых имеются пункты приема платежей, в том числе устройства самообслуживания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1289" w:type="pct"/>
            <w:tcBorders>
              <w:right w:val="single" w:sz="6" w:space="0" w:color="000000"/>
            </w:tcBorders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4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289" w:type="pct"/>
            <w:vMerge w:val="restart"/>
            <w:tcBorders>
              <w:right w:val="single" w:sz="6" w:space="0" w:color="000000"/>
            </w:tcBorders>
            <w:hideMark/>
          </w:tcPr>
          <w:p w:rsidR="00B969A6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B969A6" w:rsidRPr="006549F5" w:rsidTr="00E620FD">
        <w:trPr>
          <w:trHeight w:val="4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289" w:type="pct"/>
            <w:vMerge/>
            <w:tcBorders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E620FD">
        <w:trPr>
          <w:trHeight w:val="411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89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0FD" w:rsidRPr="006549F5" w:rsidTr="00C70049">
        <w:trPr>
          <w:trHeight w:val="24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E620FD" w:rsidRPr="006549F5" w:rsidRDefault="00E620FD" w:rsidP="003F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</w:tcPr>
          <w:p w:rsidR="00E620FD" w:rsidRPr="006549F5" w:rsidRDefault="00E620FD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подразделения в банке, ответственного за осуществление экспертизы документов и контроля за открытием специальных счетов и расходными операциями по ним</w:t>
            </w: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620FD" w:rsidRPr="006549F5" w:rsidRDefault="00E620FD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289" w:type="pct"/>
            <w:tcBorders>
              <w:top w:val="nil"/>
              <w:left w:val="nil"/>
              <w:right w:val="single" w:sz="4" w:space="0" w:color="auto"/>
            </w:tcBorders>
          </w:tcPr>
          <w:p w:rsidR="00E620FD" w:rsidRPr="00435205" w:rsidRDefault="00E620FD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620FD" w:rsidRPr="006549F5" w:rsidTr="00C70049">
        <w:trPr>
          <w:trHeight w:val="248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E620FD" w:rsidRPr="006549F5" w:rsidRDefault="00E620FD" w:rsidP="003F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</w:tcPr>
          <w:p w:rsidR="00E620FD" w:rsidRPr="006549F5" w:rsidRDefault="00E620FD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620FD" w:rsidRPr="006549F5" w:rsidRDefault="00E620FD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0FD" w:rsidRPr="00435205" w:rsidRDefault="00E620FD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9A6" w:rsidRPr="006549F5" w:rsidTr="00C70049">
        <w:trPr>
          <w:trHeight w:val="248"/>
          <w:tblCellSpacing w:w="15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69A6" w:rsidRPr="006549F5" w:rsidRDefault="00B969A6" w:rsidP="003F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2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6" w:rsidRDefault="00B969A6" w:rsidP="00C7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Наличие у кредитной организации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переводов на счет регионального оператора с использованием интернет-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взимания комиссии (с плательщика и Фонда)</w:t>
            </w:r>
          </w:p>
          <w:p w:rsidR="00EA0C23" w:rsidRPr="006549F5" w:rsidRDefault="00EA0C23" w:rsidP="00C7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bottom w:val="nil"/>
              <w:right w:val="nil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6" w:rsidRPr="006549F5" w:rsidRDefault="00E620FD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B969A6"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70049" w:rsidRPr="006549F5" w:rsidTr="00C70049">
        <w:trPr>
          <w:trHeight w:val="247"/>
          <w:tblCellSpacing w:w="15" w:type="dxa"/>
        </w:trPr>
        <w:tc>
          <w:tcPr>
            <w:tcW w:w="2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A6" w:rsidRPr="006549F5" w:rsidRDefault="00B969A6" w:rsidP="0021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69A6" w:rsidRPr="001A415C" w:rsidRDefault="00B969A6" w:rsidP="00B96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9A6" w:rsidRDefault="00B969A6"/>
    <w:sectPr w:rsidR="00B969A6" w:rsidSect="00A227C5">
      <w:pgSz w:w="11906" w:h="16838" w:code="9"/>
      <w:pgMar w:top="567" w:right="851" w:bottom="568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833B1"/>
    <w:rsid w:val="000A57EA"/>
    <w:rsid w:val="00130B64"/>
    <w:rsid w:val="0014434E"/>
    <w:rsid w:val="00151C3F"/>
    <w:rsid w:val="00167846"/>
    <w:rsid w:val="0029363A"/>
    <w:rsid w:val="002B4356"/>
    <w:rsid w:val="002C6EB3"/>
    <w:rsid w:val="002E69EF"/>
    <w:rsid w:val="003410AF"/>
    <w:rsid w:val="003468E8"/>
    <w:rsid w:val="00377609"/>
    <w:rsid w:val="003F550F"/>
    <w:rsid w:val="00473785"/>
    <w:rsid w:val="004D5916"/>
    <w:rsid w:val="004E3F80"/>
    <w:rsid w:val="00545B05"/>
    <w:rsid w:val="005A51B6"/>
    <w:rsid w:val="006031D8"/>
    <w:rsid w:val="006A5FCE"/>
    <w:rsid w:val="006D4460"/>
    <w:rsid w:val="006D60E8"/>
    <w:rsid w:val="00780CC2"/>
    <w:rsid w:val="00786797"/>
    <w:rsid w:val="00891098"/>
    <w:rsid w:val="008A4365"/>
    <w:rsid w:val="00960FF1"/>
    <w:rsid w:val="009F5E18"/>
    <w:rsid w:val="00A06BC2"/>
    <w:rsid w:val="00A16CFB"/>
    <w:rsid w:val="00A227C5"/>
    <w:rsid w:val="00A35DDD"/>
    <w:rsid w:val="00AE2FE8"/>
    <w:rsid w:val="00B969A6"/>
    <w:rsid w:val="00BC59E4"/>
    <w:rsid w:val="00BE26BE"/>
    <w:rsid w:val="00BF2A37"/>
    <w:rsid w:val="00C31A78"/>
    <w:rsid w:val="00C70049"/>
    <w:rsid w:val="00CC30AA"/>
    <w:rsid w:val="00D11BCC"/>
    <w:rsid w:val="00D35AF6"/>
    <w:rsid w:val="00DB6E7C"/>
    <w:rsid w:val="00DE287C"/>
    <w:rsid w:val="00E27FBC"/>
    <w:rsid w:val="00E402DB"/>
    <w:rsid w:val="00E620FD"/>
    <w:rsid w:val="00E74693"/>
    <w:rsid w:val="00EA0C23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1690/" TargetMode="Externa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F511-FFCE-4A68-A596-0D4932C7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Севостьянов Станислав Александрович</cp:lastModifiedBy>
  <cp:revision>14</cp:revision>
  <cp:lastPrinted>2015-10-27T11:18:00Z</cp:lastPrinted>
  <dcterms:created xsi:type="dcterms:W3CDTF">2015-10-27T09:16:00Z</dcterms:created>
  <dcterms:modified xsi:type="dcterms:W3CDTF">2015-10-27T11:48:00Z</dcterms:modified>
</cp:coreProperties>
</file>